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bookmarkStart w:id="0" w:name="_GoBack"/>
      <w:bookmarkEnd w:id="0"/>
      <w:r>
        <w:rPr>
          <w:rFonts w:ascii="仿宋_GB2312" w:eastAsia="仿宋_GB2312" w:hAnsi="Arial" w:cs="Arial" w:hint="eastAsia"/>
          <w:color w:val="000000"/>
          <w:sz w:val="32"/>
          <w:szCs w:val="32"/>
        </w:rPr>
        <w:t>滕荆处发[2021]12号</w:t>
      </w:r>
    </w:p>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r>
        <w:rPr>
          <w:rFonts w:ascii="华文中宋" w:eastAsia="华文中宋" w:hAnsi="华文中宋" w:cs="Arial" w:hint="eastAsia"/>
          <w:color w:val="000000"/>
          <w:sz w:val="44"/>
          <w:szCs w:val="44"/>
        </w:rPr>
        <w:t> </w:t>
      </w:r>
    </w:p>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r>
        <w:rPr>
          <w:rFonts w:ascii="华文中宋" w:eastAsia="华文中宋" w:hAnsi="华文中宋" w:cs="Arial" w:hint="eastAsia"/>
          <w:color w:val="000000"/>
          <w:sz w:val="44"/>
          <w:szCs w:val="44"/>
        </w:rPr>
        <w:t> </w:t>
      </w:r>
    </w:p>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r>
        <w:rPr>
          <w:rFonts w:ascii="华文中宋" w:eastAsia="华文中宋" w:hAnsi="华文中宋" w:cs="Arial" w:hint="eastAsia"/>
          <w:color w:val="000000"/>
          <w:sz w:val="44"/>
          <w:szCs w:val="44"/>
        </w:rPr>
        <w:t>荆河街道办事处</w:t>
      </w:r>
    </w:p>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r>
        <w:rPr>
          <w:rFonts w:ascii="华文中宋" w:eastAsia="华文中宋" w:hAnsi="华文中宋" w:cs="Arial" w:hint="eastAsia"/>
          <w:color w:val="000000"/>
          <w:spacing w:val="-15"/>
          <w:sz w:val="44"/>
          <w:szCs w:val="44"/>
        </w:rPr>
        <w:t>关于2021年上半年高龄补贴申报、核查工作的</w:t>
      </w:r>
    </w:p>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r>
        <w:rPr>
          <w:rFonts w:ascii="华文中宋" w:eastAsia="华文中宋" w:hAnsi="华文中宋" w:cs="Arial" w:hint="eastAsia"/>
          <w:color w:val="000000"/>
          <w:sz w:val="44"/>
          <w:szCs w:val="44"/>
        </w:rPr>
        <w:t>通</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w:t>
      </w:r>
      <w:r>
        <w:rPr>
          <w:rFonts w:ascii="华文中宋" w:eastAsia="华文中宋" w:hAnsi="华文中宋" w:cs="Arial" w:hint="eastAsia"/>
          <w:color w:val="000000"/>
          <w:sz w:val="44"/>
          <w:szCs w:val="44"/>
        </w:rPr>
        <w:t xml:space="preserve"> 知</w:t>
      </w:r>
    </w:p>
    <w:p w:rsidR="00E66AA9" w:rsidRDefault="00E66AA9" w:rsidP="00E66AA9">
      <w:pPr>
        <w:pStyle w:val="a3"/>
        <w:spacing w:before="0" w:beforeAutospacing="0" w:after="0" w:afterAutospacing="0" w:line="600" w:lineRule="atLeast"/>
        <w:jc w:val="center"/>
        <w:rPr>
          <w:rFonts w:ascii="Arial" w:hAnsi="Arial" w:cs="Arial"/>
          <w:color w:val="000000"/>
          <w:sz w:val="27"/>
          <w:szCs w:val="27"/>
        </w:rPr>
      </w:pPr>
      <w:r>
        <w:rPr>
          <w:rFonts w:ascii="Arial" w:hAnsi="Arial" w:cs="Arial"/>
          <w:color w:val="000000"/>
          <w:sz w:val="36"/>
          <w:szCs w:val="36"/>
        </w:rPr>
        <w:t> </w:t>
      </w:r>
    </w:p>
    <w:p w:rsidR="00E66AA9" w:rsidRDefault="00E66AA9" w:rsidP="00E66AA9">
      <w:pPr>
        <w:pStyle w:val="a3"/>
        <w:spacing w:line="525" w:lineRule="atLeast"/>
        <w:ind w:firstLine="645"/>
        <w:rPr>
          <w:rFonts w:ascii="Arial" w:hAnsi="Arial" w:cs="Arial"/>
          <w:color w:val="000000"/>
          <w:sz w:val="27"/>
          <w:szCs w:val="27"/>
        </w:rPr>
      </w:pPr>
      <w:r>
        <w:rPr>
          <w:rFonts w:ascii="黑体" w:eastAsia="黑体" w:hAnsi="黑体" w:cs="Arial" w:hint="eastAsia"/>
          <w:color w:val="000000"/>
          <w:sz w:val="32"/>
          <w:szCs w:val="32"/>
        </w:rPr>
        <w:t>一、新申请人员</w:t>
      </w:r>
    </w:p>
    <w:p w:rsidR="00E66AA9" w:rsidRDefault="00E66AA9" w:rsidP="00E66AA9">
      <w:pPr>
        <w:pStyle w:val="a3"/>
        <w:spacing w:line="525" w:lineRule="atLeast"/>
        <w:ind w:firstLine="645"/>
        <w:rPr>
          <w:rFonts w:ascii="Arial" w:hAnsi="Arial" w:cs="Arial"/>
          <w:color w:val="000000"/>
          <w:sz w:val="27"/>
          <w:szCs w:val="27"/>
        </w:rPr>
      </w:pPr>
      <w:r>
        <w:rPr>
          <w:rStyle w:val="a4"/>
          <w:rFonts w:ascii="仿宋_GB2312" w:eastAsia="仿宋_GB2312" w:hAnsi="Arial" w:cs="Arial" w:hint="eastAsia"/>
          <w:color w:val="000000"/>
          <w:sz w:val="32"/>
          <w:szCs w:val="32"/>
        </w:rPr>
        <w:t>1、申报对象及年龄：</w:t>
      </w:r>
      <w:r>
        <w:rPr>
          <w:rFonts w:ascii="仿宋_GB2312" w:eastAsia="仿宋_GB2312" w:hAnsi="Arial" w:cs="Arial" w:hint="eastAsia"/>
          <w:color w:val="000000"/>
          <w:sz w:val="32"/>
          <w:szCs w:val="32"/>
        </w:rPr>
        <w:t>具有荆河街道辖区常住户口且2021年6月30日前年满80周岁及以上（1941年6月30日之前出生）健在的老年人。</w:t>
      </w:r>
    </w:p>
    <w:p w:rsidR="00E66AA9" w:rsidRDefault="00E66AA9" w:rsidP="00E66AA9">
      <w:pPr>
        <w:pStyle w:val="a3"/>
        <w:spacing w:line="525" w:lineRule="atLeast"/>
        <w:ind w:firstLine="645"/>
        <w:rPr>
          <w:rFonts w:ascii="Arial" w:hAnsi="Arial" w:cs="Arial"/>
          <w:color w:val="000000"/>
          <w:sz w:val="27"/>
          <w:szCs w:val="27"/>
        </w:rPr>
      </w:pPr>
      <w:r>
        <w:rPr>
          <w:rStyle w:val="a4"/>
          <w:rFonts w:ascii="仿宋_GB2312" w:eastAsia="仿宋_GB2312" w:hAnsi="Arial" w:cs="Arial" w:hint="eastAsia"/>
          <w:color w:val="000000"/>
          <w:sz w:val="32"/>
          <w:szCs w:val="32"/>
        </w:rPr>
        <w:t>2、发放标准：</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Style w:val="apple-converted-space"/>
          <w:rFonts w:ascii="Arial" w:hAnsi="Arial" w:cs="Arial"/>
          <w:color w:val="000000"/>
          <w:sz w:val="27"/>
          <w:szCs w:val="27"/>
        </w:rPr>
        <w:t> </w:t>
      </w:r>
      <w:r>
        <w:rPr>
          <w:rFonts w:ascii="仿宋_GB2312" w:eastAsia="仿宋_GB2312" w:hAnsi="Arial" w:cs="Arial" w:hint="eastAsia"/>
          <w:color w:val="000000"/>
          <w:sz w:val="32"/>
          <w:szCs w:val="32"/>
        </w:rPr>
        <w:t>（1）年龄在80至89周岁的每人每月30元；</w:t>
      </w:r>
    </w:p>
    <w:p w:rsidR="00E66AA9" w:rsidRDefault="00E66AA9" w:rsidP="00E66AA9">
      <w:pPr>
        <w:pStyle w:val="a3"/>
        <w:spacing w:line="525" w:lineRule="atLeast"/>
        <w:ind w:firstLine="390"/>
        <w:rPr>
          <w:rFonts w:ascii="Arial" w:hAnsi="Arial" w:cs="Arial"/>
          <w:color w:val="000000"/>
          <w:sz w:val="27"/>
          <w:szCs w:val="27"/>
        </w:rPr>
      </w:pPr>
      <w:r>
        <w:rPr>
          <w:rFonts w:ascii="仿宋_GB2312" w:eastAsia="仿宋_GB2312" w:hAnsi="Arial" w:cs="Arial" w:hint="eastAsia"/>
          <w:color w:val="000000"/>
          <w:sz w:val="32"/>
          <w:szCs w:val="32"/>
        </w:rPr>
        <w:t>（2）年龄在90至99周岁的每人每月60元；</w:t>
      </w:r>
    </w:p>
    <w:p w:rsidR="00E66AA9" w:rsidRDefault="00E66AA9" w:rsidP="00E66AA9">
      <w:pPr>
        <w:pStyle w:val="a3"/>
        <w:spacing w:line="525" w:lineRule="atLeast"/>
        <w:ind w:firstLine="390"/>
        <w:rPr>
          <w:rFonts w:ascii="Arial" w:hAnsi="Arial" w:cs="Arial"/>
          <w:color w:val="000000"/>
          <w:sz w:val="27"/>
          <w:szCs w:val="27"/>
        </w:rPr>
      </w:pPr>
      <w:r>
        <w:rPr>
          <w:rFonts w:ascii="仿宋_GB2312" w:eastAsia="仿宋_GB2312" w:hAnsi="Arial" w:cs="Arial" w:hint="eastAsia"/>
          <w:color w:val="000000"/>
          <w:sz w:val="32"/>
          <w:szCs w:val="32"/>
        </w:rPr>
        <w:t>（3）100及以上老年人每人每月不低于500元。</w:t>
      </w:r>
    </w:p>
    <w:p w:rsidR="00E66AA9" w:rsidRDefault="00E66AA9" w:rsidP="00E66AA9">
      <w:pPr>
        <w:pStyle w:val="a3"/>
        <w:spacing w:line="525" w:lineRule="atLeast"/>
        <w:ind w:firstLine="555"/>
        <w:rPr>
          <w:rFonts w:ascii="Arial" w:hAnsi="Arial" w:cs="Arial"/>
          <w:color w:val="000000"/>
          <w:sz w:val="27"/>
          <w:szCs w:val="27"/>
        </w:rPr>
      </w:pPr>
      <w:r>
        <w:rPr>
          <w:rStyle w:val="a4"/>
          <w:rFonts w:ascii="仿宋_GB2312" w:eastAsia="仿宋_GB2312" w:hAnsi="Arial" w:cs="Arial" w:hint="eastAsia"/>
          <w:color w:val="000000"/>
          <w:sz w:val="32"/>
          <w:szCs w:val="32"/>
        </w:rPr>
        <w:t>3、申报时间：</w:t>
      </w:r>
    </w:p>
    <w:p w:rsidR="00E66AA9" w:rsidRDefault="00E66AA9" w:rsidP="00E66AA9">
      <w:pPr>
        <w:pStyle w:val="a3"/>
        <w:spacing w:line="525" w:lineRule="atLeast"/>
        <w:ind w:firstLine="540"/>
        <w:rPr>
          <w:rFonts w:ascii="Arial" w:hAnsi="Arial" w:cs="Arial"/>
          <w:color w:val="000000"/>
          <w:sz w:val="27"/>
          <w:szCs w:val="27"/>
        </w:rPr>
      </w:pPr>
      <w:r>
        <w:rPr>
          <w:rFonts w:ascii="仿宋_GB2312" w:eastAsia="仿宋_GB2312" w:hAnsi="Arial" w:cs="Arial" w:hint="eastAsia"/>
          <w:color w:val="000000"/>
          <w:sz w:val="32"/>
          <w:szCs w:val="32"/>
        </w:rPr>
        <w:lastRenderedPageBreak/>
        <w:t>2021年上半年高龄补贴申报时间为2021年5月21日起至5月31日结束。</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Style w:val="a4"/>
          <w:rFonts w:ascii="Arial" w:hAnsi="Arial" w:cs="Arial"/>
          <w:color w:val="000000"/>
          <w:sz w:val="32"/>
          <w:szCs w:val="32"/>
        </w:rPr>
        <w:t> </w:t>
      </w:r>
      <w:r>
        <w:rPr>
          <w:rStyle w:val="a4"/>
          <w:rFonts w:ascii="Arial" w:hAnsi="Arial" w:cs="Arial"/>
          <w:color w:val="000000"/>
          <w:sz w:val="32"/>
          <w:szCs w:val="32"/>
        </w:rPr>
        <w:t> </w:t>
      </w:r>
      <w:r>
        <w:rPr>
          <w:rStyle w:val="a4"/>
          <w:rFonts w:ascii="仿宋_GB2312" w:eastAsia="仿宋_GB2312" w:hAnsi="Arial" w:cs="Arial" w:hint="eastAsia"/>
          <w:color w:val="000000"/>
          <w:sz w:val="32"/>
          <w:szCs w:val="32"/>
        </w:rPr>
        <w:t> </w:t>
      </w:r>
      <w:r>
        <w:rPr>
          <w:rStyle w:val="a4"/>
          <w:rFonts w:ascii="仿宋_GB2312" w:eastAsia="仿宋_GB2312" w:hAnsi="Arial" w:cs="Arial" w:hint="eastAsia"/>
          <w:color w:val="000000"/>
          <w:sz w:val="32"/>
          <w:szCs w:val="32"/>
        </w:rPr>
        <w:t> </w:t>
      </w:r>
      <w:r>
        <w:rPr>
          <w:rStyle w:val="a4"/>
          <w:rFonts w:ascii="仿宋_GB2312" w:eastAsia="仿宋_GB2312" w:hAnsi="Arial" w:cs="Arial" w:hint="eastAsia"/>
          <w:color w:val="000000"/>
          <w:sz w:val="32"/>
          <w:szCs w:val="32"/>
        </w:rPr>
        <w:t xml:space="preserve"> 4、办理程序</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w:t>
      </w:r>
      <w:r>
        <w:rPr>
          <w:rStyle w:val="apple-converted-space"/>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（1）</w:t>
      </w:r>
      <w:r>
        <w:rPr>
          <w:rStyle w:val="a4"/>
          <w:rFonts w:ascii="仿宋_GB2312" w:eastAsia="仿宋_GB2312" w:hAnsi="Arial" w:cs="Arial" w:hint="eastAsia"/>
          <w:color w:val="000000"/>
          <w:sz w:val="32"/>
          <w:szCs w:val="32"/>
        </w:rPr>
        <w:t>申请</w:t>
      </w:r>
      <w:r>
        <w:rPr>
          <w:rFonts w:ascii="仿宋_GB2312" w:eastAsia="仿宋_GB2312" w:hAnsi="Arial" w:cs="Arial" w:hint="eastAsia"/>
          <w:color w:val="000000"/>
          <w:sz w:val="32"/>
          <w:szCs w:val="32"/>
        </w:rPr>
        <w:t>。凡具备享受高龄补贴条件的老年人，由本人持户口本原件和居民身份证原件及复印件三份、近期彩色免冠照片三张、农商银行卡或存折原件及复印件三份，向户口所在地的村（居）民委员会提出申请，并填写《高龄补贴申请登记表》（上级下发制式表格）一式三份。高龄老人委托亲属和其他人员办理申请的，代理人应提供本人的身份证原件予以审核并交复印件三份备查。</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w:t>
      </w:r>
      <w:r>
        <w:rPr>
          <w:rStyle w:val="apple-converted-space"/>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（2）</w:t>
      </w:r>
      <w:r>
        <w:rPr>
          <w:rStyle w:val="a4"/>
          <w:rFonts w:ascii="仿宋_GB2312" w:eastAsia="仿宋_GB2312" w:hAnsi="Arial" w:cs="Arial" w:hint="eastAsia"/>
          <w:color w:val="000000"/>
          <w:sz w:val="32"/>
          <w:szCs w:val="32"/>
        </w:rPr>
        <w:t>初审</w:t>
      </w:r>
      <w:r>
        <w:rPr>
          <w:rFonts w:ascii="仿宋_GB2312" w:eastAsia="仿宋_GB2312" w:hAnsi="Arial" w:cs="Arial" w:hint="eastAsia"/>
          <w:color w:val="000000"/>
          <w:sz w:val="32"/>
          <w:szCs w:val="32"/>
        </w:rPr>
        <w:t>。凡是户口不在本村（居）的人员，一律不得予以办理。村（居）民委员会接到申请后，应对申请人提交的申报材料进行调查核实，将申请人姓名、性别、出生年月、户籍情况、家庭住址等基本情况张榜公示。经公示无异议的，签署审查意见并加盖公章后，随同电子版《高龄补贴申请统计表》（表1）同步报送所属社区服务中心，由社区服务中心审核、统计、汇总后报街道老龄办审核。</w:t>
      </w: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w:t>
      </w:r>
    </w:p>
    <w:p w:rsidR="00E66AA9" w:rsidRDefault="00E66AA9" w:rsidP="00E66AA9">
      <w:pPr>
        <w:pStyle w:val="a3"/>
        <w:spacing w:line="525" w:lineRule="atLeast"/>
        <w:ind w:firstLine="630"/>
        <w:rPr>
          <w:rFonts w:ascii="Arial" w:hAnsi="Arial" w:cs="Arial"/>
          <w:color w:val="000000"/>
          <w:sz w:val="27"/>
          <w:szCs w:val="27"/>
        </w:rPr>
      </w:pPr>
      <w:r>
        <w:rPr>
          <w:rFonts w:ascii="仿宋_GB2312" w:eastAsia="仿宋_GB2312" w:hAnsi="Arial" w:cs="Arial" w:hint="eastAsia"/>
          <w:color w:val="000000"/>
          <w:sz w:val="32"/>
          <w:szCs w:val="32"/>
        </w:rPr>
        <w:t>（3）</w:t>
      </w:r>
      <w:r>
        <w:rPr>
          <w:rStyle w:val="a4"/>
          <w:rFonts w:ascii="仿宋_GB2312" w:eastAsia="仿宋_GB2312" w:hAnsi="Arial" w:cs="Arial" w:hint="eastAsia"/>
          <w:color w:val="000000"/>
          <w:sz w:val="32"/>
          <w:szCs w:val="32"/>
        </w:rPr>
        <w:t>复核</w:t>
      </w:r>
      <w:r>
        <w:rPr>
          <w:rFonts w:ascii="仿宋_GB2312" w:eastAsia="仿宋_GB2312" w:hAnsi="Arial" w:cs="Arial" w:hint="eastAsia"/>
          <w:color w:val="000000"/>
          <w:sz w:val="32"/>
          <w:szCs w:val="32"/>
        </w:rPr>
        <w:t>。街道老龄办对社区汇总报送的申报材料进行审查、复核，避免漏报和重复申报，对符合条件的加盖公章报市</w:t>
      </w:r>
      <w:proofErr w:type="gramStart"/>
      <w:r>
        <w:rPr>
          <w:rFonts w:ascii="仿宋_GB2312" w:eastAsia="仿宋_GB2312" w:hAnsi="Arial" w:cs="Arial" w:hint="eastAsia"/>
          <w:color w:val="000000"/>
          <w:sz w:val="32"/>
          <w:szCs w:val="32"/>
        </w:rPr>
        <w:t>卫健局审批</w:t>
      </w:r>
      <w:proofErr w:type="gramEnd"/>
      <w:r>
        <w:rPr>
          <w:rFonts w:ascii="仿宋_GB2312" w:eastAsia="仿宋_GB2312" w:hAnsi="Arial" w:cs="Arial" w:hint="eastAsia"/>
          <w:color w:val="000000"/>
          <w:sz w:val="32"/>
          <w:szCs w:val="32"/>
        </w:rPr>
        <w:t>。</w:t>
      </w:r>
    </w:p>
    <w:p w:rsidR="00E66AA9" w:rsidRDefault="00E66AA9" w:rsidP="00E66AA9">
      <w:pPr>
        <w:pStyle w:val="a3"/>
        <w:spacing w:line="525" w:lineRule="atLeast"/>
        <w:ind w:firstLine="630"/>
        <w:rPr>
          <w:rFonts w:ascii="Arial" w:hAnsi="Arial" w:cs="Arial"/>
          <w:color w:val="000000"/>
          <w:sz w:val="27"/>
          <w:szCs w:val="27"/>
        </w:rPr>
      </w:pPr>
      <w:r>
        <w:rPr>
          <w:rFonts w:ascii="仿宋_GB2312" w:eastAsia="仿宋_GB2312" w:hAnsi="Arial" w:cs="Arial" w:hint="eastAsia"/>
          <w:color w:val="000000"/>
          <w:sz w:val="32"/>
          <w:szCs w:val="32"/>
        </w:rPr>
        <w:lastRenderedPageBreak/>
        <w:t>（4）</w:t>
      </w:r>
      <w:r>
        <w:rPr>
          <w:rStyle w:val="a4"/>
          <w:rFonts w:ascii="仿宋_GB2312" w:eastAsia="仿宋_GB2312" w:hAnsi="Arial" w:cs="Arial" w:hint="eastAsia"/>
          <w:color w:val="000000"/>
          <w:sz w:val="32"/>
          <w:szCs w:val="32"/>
        </w:rPr>
        <w:t>审批</w:t>
      </w:r>
      <w:r>
        <w:rPr>
          <w:rFonts w:ascii="仿宋_GB2312" w:eastAsia="仿宋_GB2312" w:hAnsi="Arial" w:cs="Arial" w:hint="eastAsia"/>
          <w:color w:val="000000"/>
          <w:sz w:val="32"/>
          <w:szCs w:val="32"/>
        </w:rPr>
        <w:t>。市</w:t>
      </w:r>
      <w:proofErr w:type="gramStart"/>
      <w:r>
        <w:rPr>
          <w:rFonts w:ascii="仿宋_GB2312" w:eastAsia="仿宋_GB2312" w:hAnsi="Arial" w:cs="Arial" w:hint="eastAsia"/>
          <w:color w:val="000000"/>
          <w:sz w:val="32"/>
          <w:szCs w:val="32"/>
        </w:rPr>
        <w:t>卫健局对</w:t>
      </w:r>
      <w:proofErr w:type="gramEnd"/>
      <w:r>
        <w:rPr>
          <w:rFonts w:ascii="仿宋_GB2312" w:eastAsia="仿宋_GB2312" w:hAnsi="Arial" w:cs="Arial" w:hint="eastAsia"/>
          <w:color w:val="000000"/>
          <w:sz w:val="32"/>
          <w:szCs w:val="32"/>
        </w:rPr>
        <w:t>上报的材料及程序进行审核批准。</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Fonts w:ascii="黑体" w:eastAsia="黑体" w:hAnsi="黑体" w:cs="Arial" w:hint="eastAsia"/>
          <w:color w:val="000000"/>
          <w:sz w:val="32"/>
          <w:szCs w:val="32"/>
        </w:rPr>
        <w:t> </w:t>
      </w:r>
      <w:r>
        <w:rPr>
          <w:rStyle w:val="apple-converted-space"/>
          <w:rFonts w:hint="eastAsia"/>
          <w:color w:val="000000"/>
          <w:sz w:val="32"/>
          <w:szCs w:val="32"/>
        </w:rPr>
        <w:t> </w:t>
      </w:r>
      <w:r>
        <w:rPr>
          <w:rFonts w:ascii="黑体" w:eastAsia="黑体" w:hAnsi="黑体" w:cs="Arial" w:hint="eastAsia"/>
          <w:color w:val="000000"/>
          <w:sz w:val="32"/>
          <w:szCs w:val="32"/>
        </w:rPr>
        <w:t>二、高龄补贴信息核查</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1、核查时间：</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2021年5月21日至5月31日。</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2、核查流程：</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（1）正常领取人员：严禁居干部代签、代办。须由被核查人持本人身份证等有效证件在规定的时间内，到户口所在地村（居）</w:t>
      </w:r>
      <w:r>
        <w:rPr>
          <w:rFonts w:ascii="仿宋_GB2312" w:eastAsia="仿宋_GB2312" w:hAnsi="Arial" w:cs="Arial" w:hint="eastAsia"/>
          <w:color w:val="000000"/>
          <w:spacing w:val="-15"/>
          <w:sz w:val="32"/>
          <w:szCs w:val="32"/>
        </w:rPr>
        <w:t>委会填写《荆河街道高龄补贴正常发放信息核查人员登记表》（表3），</w:t>
      </w:r>
      <w:r>
        <w:rPr>
          <w:rFonts w:ascii="仿宋_GB2312" w:eastAsia="仿宋_GB2312" w:hAnsi="Arial" w:cs="Arial" w:hint="eastAsia"/>
          <w:color w:val="000000"/>
          <w:sz w:val="32"/>
          <w:szCs w:val="32"/>
        </w:rPr>
        <w:t>办理信息核查登记，经被核查人签字、按手印后，由居委统计并加盖公章后上报所属社区。行动不便、长期卧床不起或长期在外地生活的高龄老人，可由其直系亲属持代办人身份证和被核查人身份证到居委进行核查，但必须提供被核查人的生活照片（被核查人持当日报纸头版和身份证的照片），图片资料由居委留存、建档、备查；</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（2）死亡</w:t>
      </w:r>
      <w:proofErr w:type="gramStart"/>
      <w:r>
        <w:rPr>
          <w:rFonts w:ascii="仿宋_GB2312" w:eastAsia="仿宋_GB2312" w:hAnsi="Arial" w:cs="Arial" w:hint="eastAsia"/>
          <w:color w:val="000000"/>
          <w:sz w:val="32"/>
          <w:szCs w:val="32"/>
        </w:rPr>
        <w:t>及失联或</w:t>
      </w:r>
      <w:proofErr w:type="gramEnd"/>
      <w:r>
        <w:rPr>
          <w:rFonts w:ascii="仿宋_GB2312" w:eastAsia="仿宋_GB2312" w:hAnsi="Arial" w:cs="Arial" w:hint="eastAsia"/>
          <w:color w:val="000000"/>
          <w:sz w:val="32"/>
          <w:szCs w:val="32"/>
        </w:rPr>
        <w:t>拒绝核查人员：实行零报告制度。由村（居）委会分别填写《特殊人员登记表》（表2）。</w:t>
      </w:r>
      <w:proofErr w:type="gramStart"/>
      <w:r>
        <w:rPr>
          <w:rFonts w:ascii="仿宋_GB2312" w:eastAsia="仿宋_GB2312" w:hAnsi="Arial" w:cs="Arial" w:hint="eastAsia"/>
          <w:color w:val="000000"/>
          <w:sz w:val="32"/>
          <w:szCs w:val="32"/>
        </w:rPr>
        <w:t>居级核定</w:t>
      </w:r>
      <w:proofErr w:type="gramEnd"/>
      <w:r>
        <w:rPr>
          <w:rFonts w:ascii="仿宋_GB2312" w:eastAsia="仿宋_GB2312" w:hAnsi="Arial" w:cs="Arial" w:hint="eastAsia"/>
          <w:color w:val="000000"/>
          <w:sz w:val="32"/>
          <w:szCs w:val="32"/>
        </w:rPr>
        <w:t>后将《特殊人员登记表》上报至所属社区服务中心（纸质表格加盖村（居）委公章和电子版同步上报至所在社区）。</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lastRenderedPageBreak/>
        <w:t>（3）各社区服务中心对村（居）委会上报的《高龄补贴信息核查登记表》（表3）、《特殊人员登记表》（表2）进行复核，并以社区为单位，汇总后上报到街道老龄办（社区统计数据电子版和各村（居）加盖村（居）委公章的纸质表格同步上报）；</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（4）街道老龄办对各社区服务中心上报的《高龄补贴信息核查登记表》（表3）、《特殊人员登记表》（表2）进行核查后上报市主管部门；</w:t>
      </w:r>
    </w:p>
    <w:p w:rsidR="00E66AA9" w:rsidRDefault="00E66AA9" w:rsidP="00E66AA9">
      <w:pPr>
        <w:pStyle w:val="a3"/>
        <w:spacing w:line="525" w:lineRule="atLeast"/>
        <w:ind w:firstLine="645"/>
        <w:rPr>
          <w:rFonts w:ascii="Arial" w:hAnsi="Arial" w:cs="Arial"/>
          <w:color w:val="000000"/>
          <w:sz w:val="27"/>
          <w:szCs w:val="27"/>
        </w:rPr>
      </w:pPr>
      <w:r>
        <w:rPr>
          <w:rFonts w:ascii="仿宋_GB2312" w:eastAsia="仿宋_GB2312" w:hAnsi="Arial" w:cs="Arial" w:hint="eastAsia"/>
          <w:color w:val="000000"/>
          <w:sz w:val="32"/>
          <w:szCs w:val="32"/>
        </w:rPr>
        <w:t>（5）市</w:t>
      </w:r>
      <w:proofErr w:type="gramStart"/>
      <w:r>
        <w:rPr>
          <w:rFonts w:ascii="仿宋_GB2312" w:eastAsia="仿宋_GB2312" w:hAnsi="Arial" w:cs="Arial" w:hint="eastAsia"/>
          <w:color w:val="000000"/>
          <w:sz w:val="32"/>
          <w:szCs w:val="32"/>
        </w:rPr>
        <w:t>卫健局对</w:t>
      </w:r>
      <w:proofErr w:type="gramEnd"/>
      <w:r>
        <w:rPr>
          <w:rFonts w:ascii="仿宋_GB2312" w:eastAsia="仿宋_GB2312" w:hAnsi="Arial" w:cs="Arial" w:hint="eastAsia"/>
          <w:color w:val="000000"/>
          <w:sz w:val="32"/>
          <w:szCs w:val="32"/>
        </w:rPr>
        <w:t>报送的材料及程序进行审批。</w:t>
      </w:r>
    </w:p>
    <w:p w:rsidR="00E66AA9" w:rsidRDefault="00E66AA9" w:rsidP="00E66AA9">
      <w:pPr>
        <w:pStyle w:val="a3"/>
        <w:spacing w:line="525" w:lineRule="atLeast"/>
        <w:ind w:firstLine="630"/>
        <w:rPr>
          <w:rFonts w:ascii="Arial" w:hAnsi="Arial" w:cs="Arial"/>
          <w:color w:val="000000"/>
          <w:sz w:val="27"/>
          <w:szCs w:val="27"/>
        </w:rPr>
      </w:pPr>
      <w:r>
        <w:rPr>
          <w:rFonts w:ascii="黑体" w:eastAsia="黑体" w:hAnsi="黑体" w:cs="Arial" w:hint="eastAsia"/>
          <w:color w:val="000000"/>
          <w:sz w:val="32"/>
          <w:szCs w:val="32"/>
        </w:rPr>
        <w:t>三、高龄补贴发放和动态管理方式</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xml:space="preserve"> 1、80周岁及以上老人高龄补贴，每年分为上半年、下半年两次发放。</w:t>
      </w:r>
    </w:p>
    <w:p w:rsidR="00E66AA9" w:rsidRDefault="00E66AA9" w:rsidP="00E66AA9">
      <w:pPr>
        <w:pStyle w:val="a3"/>
        <w:spacing w:line="525" w:lineRule="atLeast"/>
        <w:rPr>
          <w:rFonts w:ascii="Arial" w:hAnsi="Arial" w:cs="Arial"/>
          <w:color w:val="000000"/>
          <w:sz w:val="27"/>
          <w:szCs w:val="27"/>
        </w:rPr>
      </w:pPr>
      <w:r>
        <w:rPr>
          <w:rFonts w:ascii="Arial" w:hAnsi="Arial" w:cs="Arial"/>
          <w:color w:val="000000"/>
          <w:sz w:val="32"/>
          <w:szCs w:val="32"/>
        </w:rPr>
        <w:t> </w:t>
      </w:r>
      <w:r>
        <w:rPr>
          <w:rFonts w:ascii="Arial" w:hAnsi="Arial" w:cs="Arial"/>
          <w:color w:val="000000"/>
          <w:sz w:val="32"/>
          <w:szCs w:val="32"/>
        </w:rPr>
        <w:t> </w:t>
      </w:r>
      <w:r>
        <w:rPr>
          <w:rFonts w:ascii="Arial" w:hAnsi="Arial" w:cs="Arial"/>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 xml:space="preserve"> 2、根据上级要求，街道业务部门每年两次组织社区、村（居）委会对享受高龄补贴的对象进行全面进行核查，对有问题或情况不明的对象暂停发放，如需恢复须重新申请，且暂停期间补贴不予补发。享受对象去世后，其子女或亲属应及时填写《变更、注销人员登记表》，于</w:t>
      </w:r>
      <w:proofErr w:type="gramStart"/>
      <w:r>
        <w:rPr>
          <w:rFonts w:ascii="仿宋_GB2312" w:eastAsia="仿宋_GB2312" w:hAnsi="Arial" w:cs="Arial" w:hint="eastAsia"/>
          <w:color w:val="000000"/>
          <w:sz w:val="32"/>
          <w:szCs w:val="32"/>
        </w:rPr>
        <w:t>当月将</w:t>
      </w:r>
      <w:proofErr w:type="gramEnd"/>
      <w:r>
        <w:rPr>
          <w:rFonts w:ascii="仿宋_GB2312" w:eastAsia="仿宋_GB2312" w:hAnsi="Arial" w:cs="Arial" w:hint="eastAsia"/>
          <w:color w:val="000000"/>
          <w:sz w:val="32"/>
          <w:szCs w:val="32"/>
        </w:rPr>
        <w:t>具体情况告知发放部门，各村（居）委会、社区汇总后报送街道业务部门，街道汇总上报市主管部门，予以注销并停止发放。享受对象长期在外地居住的，应在现居住地村（居）委会出具</w:t>
      </w:r>
      <w:r>
        <w:rPr>
          <w:rFonts w:ascii="仿宋_GB2312" w:eastAsia="仿宋_GB2312" w:hAnsi="Arial" w:cs="Arial" w:hint="eastAsia"/>
          <w:color w:val="000000"/>
          <w:sz w:val="32"/>
          <w:szCs w:val="32"/>
        </w:rPr>
        <w:lastRenderedPageBreak/>
        <w:t>老人健在的证明，并由老人持当日报纸照相并把电子版或照片送到居委报发放单位留存，一年审核一次，并建立有效的联系渠道。</w:t>
      </w:r>
    </w:p>
    <w:p w:rsidR="00E66AA9" w:rsidRDefault="00E66AA9" w:rsidP="00E66AA9">
      <w:pPr>
        <w:pStyle w:val="a3"/>
        <w:spacing w:line="525" w:lineRule="atLeast"/>
        <w:ind w:firstLine="630"/>
        <w:rPr>
          <w:rFonts w:ascii="Arial" w:hAnsi="Arial" w:cs="Arial"/>
          <w:color w:val="000000"/>
          <w:sz w:val="27"/>
          <w:szCs w:val="27"/>
        </w:rPr>
      </w:pPr>
      <w:r>
        <w:rPr>
          <w:rFonts w:ascii="黑体" w:eastAsia="黑体" w:hAnsi="黑体" w:cs="Arial" w:hint="eastAsia"/>
          <w:color w:val="000000"/>
          <w:sz w:val="32"/>
          <w:szCs w:val="32"/>
        </w:rPr>
        <w:t>四、几点要求</w:t>
      </w:r>
    </w:p>
    <w:p w:rsidR="00E66AA9" w:rsidRDefault="00E66AA9" w:rsidP="00E66AA9">
      <w:pPr>
        <w:pStyle w:val="a3"/>
        <w:spacing w:line="525" w:lineRule="atLeast"/>
        <w:ind w:firstLine="630"/>
        <w:rPr>
          <w:rFonts w:ascii="Arial" w:hAnsi="Arial" w:cs="Arial"/>
          <w:color w:val="000000"/>
          <w:sz w:val="27"/>
          <w:szCs w:val="27"/>
        </w:rPr>
      </w:pPr>
      <w:r>
        <w:rPr>
          <w:rFonts w:ascii="楷体_GB2312" w:eastAsia="楷体_GB2312" w:hAnsi="Arial" w:cs="Arial" w:hint="eastAsia"/>
          <w:color w:val="000000"/>
          <w:sz w:val="32"/>
          <w:szCs w:val="32"/>
        </w:rPr>
        <w:t>1、加强领导，严把申报程序。</w:t>
      </w:r>
      <w:r>
        <w:rPr>
          <w:rFonts w:ascii="仿宋_GB2312" w:eastAsia="仿宋_GB2312" w:hAnsi="Arial" w:cs="Arial" w:hint="eastAsia"/>
          <w:color w:val="000000"/>
          <w:sz w:val="32"/>
          <w:szCs w:val="32"/>
        </w:rPr>
        <w:t>为加强对高龄补贴申请、核查工作的领导，街道办事处成立由街道党工委副书记孔维刚同志任组长、办事处副主任蒋明同志任副组长，各社区服务中心相关同志为成员的领导小组，统一负责街道的高龄补贴申请、核查的督导工作。各社区、村（居）委也要明确专人，负责本社区、村（居）高龄补贴的上报与核实工作，实行村（居）初审、社区统计、部门汇总、街道分管领导审核的分级负责工作机制。</w:t>
      </w:r>
    </w:p>
    <w:p w:rsidR="00E66AA9" w:rsidRDefault="00E66AA9" w:rsidP="00E66AA9">
      <w:pPr>
        <w:pStyle w:val="a3"/>
        <w:spacing w:line="525" w:lineRule="atLeast"/>
        <w:ind w:firstLine="630"/>
        <w:rPr>
          <w:rFonts w:ascii="Arial" w:hAnsi="Arial" w:cs="Arial"/>
          <w:color w:val="000000"/>
          <w:sz w:val="27"/>
          <w:szCs w:val="27"/>
        </w:rPr>
      </w:pPr>
      <w:r>
        <w:rPr>
          <w:rFonts w:ascii="楷体_GB2312" w:eastAsia="楷体_GB2312" w:hAnsi="Arial" w:cs="Arial" w:hint="eastAsia"/>
          <w:color w:val="000000"/>
          <w:sz w:val="32"/>
          <w:szCs w:val="32"/>
        </w:rPr>
        <w:t>2、强化核查，做好动态管理。</w:t>
      </w:r>
      <w:r>
        <w:rPr>
          <w:rFonts w:ascii="仿宋_GB2312" w:eastAsia="仿宋_GB2312" w:hAnsi="Arial" w:cs="Arial" w:hint="eastAsia"/>
          <w:color w:val="000000"/>
          <w:sz w:val="32"/>
          <w:szCs w:val="32"/>
        </w:rPr>
        <w:t>各村（居）要建立定期与不定期相结合的登记制度，对本村（居）老年人情况要及时了解，准确掌握老年人的变化情况（新增和注销），务必确保资料准确无误。</w:t>
      </w:r>
    </w:p>
    <w:p w:rsidR="00E66AA9" w:rsidRDefault="00E66AA9" w:rsidP="00E66AA9">
      <w:pPr>
        <w:pStyle w:val="a3"/>
        <w:spacing w:line="525" w:lineRule="atLeast"/>
        <w:ind w:firstLine="630"/>
        <w:rPr>
          <w:rFonts w:ascii="Arial" w:hAnsi="Arial" w:cs="Arial"/>
          <w:color w:val="000000"/>
          <w:sz w:val="27"/>
          <w:szCs w:val="27"/>
        </w:rPr>
      </w:pPr>
      <w:r>
        <w:rPr>
          <w:rFonts w:ascii="楷体_GB2312" w:eastAsia="楷体_GB2312" w:hAnsi="Arial" w:cs="Arial" w:hint="eastAsia"/>
          <w:color w:val="000000"/>
          <w:sz w:val="32"/>
          <w:szCs w:val="32"/>
        </w:rPr>
        <w:t>3、严明纪律，落实追究制度。</w:t>
      </w:r>
      <w:r>
        <w:rPr>
          <w:rFonts w:ascii="仿宋_GB2312" w:eastAsia="仿宋_GB2312" w:hAnsi="Arial" w:cs="Arial" w:hint="eastAsia"/>
          <w:color w:val="000000"/>
          <w:sz w:val="32"/>
          <w:szCs w:val="32"/>
        </w:rPr>
        <w:t>对违反高龄老人高龄补贴制度和享受对象去世后不及时上报，采取虚报、瞒报、伪造等手段，骗取和冒领高龄补贴的村（居）和个人，一经发</w:t>
      </w:r>
      <w:r>
        <w:rPr>
          <w:rFonts w:ascii="仿宋_GB2312" w:eastAsia="仿宋_GB2312" w:hAnsi="Arial" w:cs="Arial" w:hint="eastAsia"/>
          <w:color w:val="000000"/>
          <w:sz w:val="32"/>
          <w:szCs w:val="32"/>
        </w:rPr>
        <w:lastRenderedPageBreak/>
        <w:t>现，除全额追回所发补贴外，将视情节轻重对当事人进行批评教育外，并依纪、依法、依规对相关责任人进行严肃处理。</w:t>
      </w:r>
    </w:p>
    <w:p w:rsidR="00E66AA9" w:rsidRDefault="00E66AA9" w:rsidP="00E66AA9">
      <w:pPr>
        <w:pStyle w:val="a3"/>
        <w:spacing w:line="525" w:lineRule="atLeast"/>
        <w:rPr>
          <w:rFonts w:ascii="Arial" w:hAnsi="Arial" w:cs="Arial"/>
          <w:color w:val="000000"/>
          <w:sz w:val="27"/>
          <w:szCs w:val="27"/>
        </w:rPr>
      </w:pPr>
      <w:r>
        <w:rPr>
          <w:rFonts w:ascii="仿宋_GB2312" w:eastAsia="仿宋_GB2312" w:hAnsi="Arial" w:cs="Arial" w:hint="eastAsia"/>
          <w:color w:val="000000"/>
          <w:sz w:val="32"/>
          <w:szCs w:val="32"/>
        </w:rPr>
        <w:t> </w:t>
      </w:r>
    </w:p>
    <w:p w:rsidR="00E66AA9" w:rsidRDefault="00E66AA9" w:rsidP="00E66AA9">
      <w:pPr>
        <w:pStyle w:val="a3"/>
        <w:spacing w:line="525" w:lineRule="atLeast"/>
        <w:ind w:firstLine="5280"/>
        <w:rPr>
          <w:rFonts w:ascii="Arial" w:hAnsi="Arial" w:cs="Arial"/>
          <w:color w:val="000000"/>
          <w:sz w:val="27"/>
          <w:szCs w:val="27"/>
        </w:rPr>
      </w:pPr>
      <w:r>
        <w:rPr>
          <w:rFonts w:ascii="仿宋_GB2312" w:eastAsia="仿宋_GB2312" w:hAnsi="Arial" w:cs="Arial" w:hint="eastAsia"/>
          <w:color w:val="000000"/>
          <w:sz w:val="32"/>
          <w:szCs w:val="32"/>
        </w:rPr>
        <w:t> </w:t>
      </w:r>
    </w:p>
    <w:p w:rsidR="00E66AA9" w:rsidRDefault="00E66AA9" w:rsidP="00E66AA9">
      <w:pPr>
        <w:pStyle w:val="a3"/>
        <w:spacing w:line="525" w:lineRule="atLeast"/>
        <w:ind w:firstLine="6240"/>
        <w:rPr>
          <w:rFonts w:ascii="Arial" w:hAnsi="Arial" w:cs="Arial"/>
          <w:color w:val="000000"/>
          <w:sz w:val="27"/>
          <w:szCs w:val="27"/>
        </w:rPr>
      </w:pPr>
      <w:r>
        <w:rPr>
          <w:rFonts w:ascii="仿宋_GB2312" w:eastAsia="仿宋_GB2312" w:hAnsi="Arial" w:cs="Arial" w:hint="eastAsia"/>
          <w:color w:val="000000"/>
          <w:sz w:val="32"/>
          <w:szCs w:val="32"/>
        </w:rPr>
        <w:t>2021年5月24日</w:t>
      </w:r>
    </w:p>
    <w:p w:rsidR="00203F87" w:rsidRDefault="00203F87"/>
    <w:sectPr w:rsidR="00203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76"/>
    <w:rsid w:val="00203F87"/>
    <w:rsid w:val="007401E8"/>
    <w:rsid w:val="00AC3576"/>
    <w:rsid w:val="00E6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A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6AA9"/>
    <w:rPr>
      <w:b/>
      <w:bCs/>
    </w:rPr>
  </w:style>
  <w:style w:type="character" w:customStyle="1" w:styleId="apple-converted-space">
    <w:name w:val="apple-converted-space"/>
    <w:basedOn w:val="a0"/>
    <w:rsid w:val="00E66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A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6AA9"/>
    <w:rPr>
      <w:b/>
      <w:bCs/>
    </w:rPr>
  </w:style>
  <w:style w:type="character" w:customStyle="1" w:styleId="apple-converted-space">
    <w:name w:val="apple-converted-space"/>
    <w:basedOn w:val="a0"/>
    <w:rsid w:val="00E66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tengzhou</dc:creator>
  <cp:lastModifiedBy>tengzhou</cp:lastModifiedBy>
  <cp:revision>2</cp:revision>
  <dcterms:created xsi:type="dcterms:W3CDTF">2021-11-23T01:21:00Z</dcterms:created>
  <dcterms:modified xsi:type="dcterms:W3CDTF">2021-11-23T01:21:00Z</dcterms:modified>
</cp:coreProperties>
</file>